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2009E8">
      <w:pPr>
        <w:pStyle w:val="12"/>
        <w:numPr>
          <w:ilvl w:val="0"/>
          <w:numId w:val="0"/>
        </w:numPr>
        <w:spacing w:before="0" w:after="0" w:line="240" w:lineRule="auto"/>
        <w:ind w:firstLine="1081" w:firstLineChars="300"/>
        <w:jc w:val="both"/>
        <w:rPr>
          <w:rFonts w:hint="default" w:ascii="微软雅黑" w:hAnsi="微软雅黑" w:eastAsia="微软雅黑" w:cs="微软雅黑"/>
          <w:b/>
          <w:bCs/>
          <w:color w:val="FF0000"/>
          <w:sz w:val="36"/>
          <w:szCs w:val="36"/>
          <w:shd w:val="clear" w:color="auto" w:fill="auto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z w:val="36"/>
          <w:szCs w:val="36"/>
          <w:shd w:val="clear" w:color="auto" w:fill="auto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11557000</wp:posOffset>
            </wp:positionH>
            <wp:positionV relativeFrom="topMargin">
              <wp:posOffset>12344400</wp:posOffset>
            </wp:positionV>
            <wp:extent cx="254000" cy="342900"/>
            <wp:effectExtent l="0" t="0" r="0" b="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bCs/>
          <w:color w:val="FF0000"/>
          <w:sz w:val="36"/>
          <w:szCs w:val="36"/>
          <w:shd w:val="clear" w:color="auto" w:fill="auto"/>
          <w:lang w:val="en-US" w:eastAsia="zh-CN"/>
        </w:rPr>
        <w:t>2026年广东中考英语答题策略&amp;英语学科学习方法汇编</w:t>
      </w:r>
    </w:p>
    <w:p w14:paraId="169FE94F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/>
          <w:bCs/>
          <w:color w:val="0000FF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0000FF"/>
          <w:sz w:val="28"/>
          <w:szCs w:val="28"/>
          <w:shd w:val="clear" w:color="auto" w:fill="auto"/>
          <w:lang w:val="en-US" w:eastAsia="zh-CN"/>
        </w:rPr>
        <w:t>一、听说应用</w:t>
      </w:r>
    </w:p>
    <w:p w14:paraId="6F733875">
      <w:pPr>
        <w:pStyle w:val="12"/>
        <w:numPr>
          <w:ilvl w:val="0"/>
          <w:numId w:val="0"/>
        </w:numPr>
        <w:spacing w:before="0" w:after="0" w:line="240" w:lineRule="auto"/>
        <w:ind w:leftChars="0" w:firstLine="240" w:firstLineChars="10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听力考查核心是 “快速抓取有效信息并准确判断”，需针对不同题型精准破题，同时遵循“听前 - 听中 - 听后” 的完整流程。</w:t>
      </w:r>
    </w:p>
    <w:p w14:paraId="2FAD5E3F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24"/>
          <w:shd w:val="clear" w:color="auto" w:fill="auto"/>
          <w:lang w:val="en-US" w:eastAsia="zh-CN"/>
        </w:rPr>
        <w:t>1. 分题型突破技巧</w:t>
      </w:r>
    </w:p>
    <w:tbl>
      <w:tblPr>
        <w:tblStyle w:val="13"/>
        <w:tblW w:w="10906" w:type="dxa"/>
        <w:jc w:val="center"/>
        <w:tblBorders>
          <w:top w:val="none" w:color="auto" w:sz="0" w:space="0"/>
          <w:left w:val="single" w:color="auto" w:sz="2" w:space="0"/>
          <w:bottom w:val="single" w:color="auto" w:sz="2" w:space="0"/>
          <w:right w:val="single" w:color="auto" w:sz="2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80" w:type="dxa"/>
          <w:left w:w="128" w:type="dxa"/>
          <w:bottom w:w="80" w:type="dxa"/>
          <w:right w:w="128" w:type="dxa"/>
        </w:tblCellMar>
      </w:tblPr>
      <w:tblGrid>
        <w:gridCol w:w="805"/>
        <w:gridCol w:w="1731"/>
        <w:gridCol w:w="8370"/>
      </w:tblGrid>
      <w:tr w14:paraId="2EA9C7FD">
        <w:tblPrEx>
          <w:tblBorders>
            <w:top w:val="none" w:color="auto" w:sz="0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tblHeader/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03C42117">
            <w:pPr>
              <w:pStyle w:val="12"/>
              <w:numPr>
                <w:ilvl w:val="0"/>
                <w:numId w:val="0"/>
              </w:numPr>
              <w:snapToGrid w:val="0"/>
              <w:spacing w:before="0" w:after="0" w:line="240" w:lineRule="auto"/>
              <w:ind w:leftChars="0"/>
              <w:jc w:val="center"/>
              <w:rPr>
                <w:rFonts w:hint="eastAsia" w:ascii="微软雅黑" w:hAnsi="微软雅黑" w:eastAsia="微软雅黑" w:cs="微软雅黑"/>
                <w:b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题型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170402C4">
            <w:pPr>
              <w:pStyle w:val="12"/>
              <w:numPr>
                <w:ilvl w:val="0"/>
                <w:numId w:val="0"/>
              </w:numPr>
              <w:snapToGrid w:val="0"/>
              <w:spacing w:before="0" w:after="0" w:line="240" w:lineRule="auto"/>
              <w:ind w:leftChars="0"/>
              <w:jc w:val="center"/>
              <w:rPr>
                <w:rFonts w:hint="eastAsia" w:ascii="微软雅黑" w:hAnsi="微软雅黑" w:eastAsia="微软雅黑" w:cs="微软雅黑"/>
                <w:b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核心特征</w:t>
            </w:r>
          </w:p>
        </w:tc>
        <w:tc>
          <w:tcPr>
            <w:tcW w:w="8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36DABFD2">
            <w:pPr>
              <w:pStyle w:val="12"/>
              <w:numPr>
                <w:ilvl w:val="0"/>
                <w:numId w:val="0"/>
              </w:numPr>
              <w:snapToGrid w:val="0"/>
              <w:spacing w:before="0" w:after="0" w:line="240" w:lineRule="auto"/>
              <w:ind w:leftChars="0"/>
              <w:jc w:val="center"/>
              <w:rPr>
                <w:rFonts w:hint="eastAsia" w:ascii="微软雅黑" w:hAnsi="微软雅黑" w:eastAsia="微软雅黑" w:cs="微软雅黑"/>
                <w:b/>
                <w:bCs w:val="0"/>
                <w:color w:val="FF000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color w:val="FF0000"/>
                <w:sz w:val="24"/>
                <w:szCs w:val="24"/>
                <w:shd w:val="clear" w:color="auto" w:fill="auto"/>
                <w:lang w:val="en-US" w:eastAsia="zh-CN"/>
              </w:rPr>
              <w:t>关键策略</w:t>
            </w:r>
          </w:p>
        </w:tc>
      </w:tr>
      <w:tr w14:paraId="042928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C8F29B">
            <w:pPr>
              <w:pStyle w:val="12"/>
              <w:numPr>
                <w:ilvl w:val="0"/>
                <w:numId w:val="0"/>
              </w:numPr>
              <w:snapToGrid w:val="0"/>
              <w:spacing w:before="0" w:after="0" w:line="240" w:lineRule="auto"/>
              <w:ind w:left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直接信息题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0112AD">
            <w:pPr>
              <w:pStyle w:val="12"/>
              <w:numPr>
                <w:ilvl w:val="0"/>
                <w:numId w:val="0"/>
              </w:numPr>
              <w:snapToGrid w:val="0"/>
              <w:spacing w:before="0" w:after="0" w:line="240" w:lineRule="auto"/>
              <w:ind w:leftChars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答案可直接获取，干扰项易混淆</w:t>
            </w:r>
          </w:p>
        </w:tc>
        <w:tc>
          <w:tcPr>
            <w:tcW w:w="8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E33C50">
            <w:pPr>
              <w:pStyle w:val="12"/>
              <w:numPr>
                <w:ilvl w:val="0"/>
                <w:numId w:val="0"/>
              </w:numPr>
              <w:snapToGrid w:val="0"/>
              <w:spacing w:before="0" w:after="0" w:line="240" w:lineRule="auto"/>
              <w:ind w:leftChars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听前圈画题干中的 “男 / 女角色”“时间 / 地点” 等限定词；2. 听时聚焦问题指向的内容，忽略无关干扰信息。</w:t>
            </w:r>
          </w:p>
        </w:tc>
      </w:tr>
      <w:tr w14:paraId="5BF85D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487D2E">
            <w:pPr>
              <w:pStyle w:val="12"/>
              <w:numPr>
                <w:ilvl w:val="0"/>
                <w:numId w:val="0"/>
              </w:numPr>
              <w:snapToGrid w:val="0"/>
              <w:spacing w:before="0" w:after="0" w:line="240" w:lineRule="auto"/>
              <w:ind w:left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间接信息题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0CE5DF">
            <w:pPr>
              <w:pStyle w:val="12"/>
              <w:numPr>
                <w:ilvl w:val="0"/>
                <w:numId w:val="0"/>
              </w:numPr>
              <w:snapToGrid w:val="0"/>
              <w:spacing w:before="0" w:after="0" w:line="240" w:lineRule="auto"/>
              <w:ind w:leftChars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需转化 / 归纳信息，涉及场景、关系、数字等</w:t>
            </w:r>
          </w:p>
        </w:tc>
        <w:tc>
          <w:tcPr>
            <w:tcW w:w="8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9B2970">
            <w:pPr>
              <w:pStyle w:val="12"/>
              <w:numPr>
                <w:ilvl w:val="0"/>
                <w:numId w:val="0"/>
              </w:numPr>
              <w:snapToGrid w:val="0"/>
              <w:spacing w:before="0" w:after="0" w:line="240" w:lineRule="auto"/>
              <w:ind w:leftChars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 场景推断：抓场景高频词（如 restaurant 对应 menu、bill）；人物关系：关注称呼（如 Mr./Ms.）和职业相关词（如 doctor 对应 patient）；数字计算：记录关键数字，区分- teen/-ty 发音，注意“now/in/before”等时间限定。</w:t>
            </w:r>
          </w:p>
        </w:tc>
      </w:tr>
      <w:tr w14:paraId="46D92E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6884ED">
            <w:pPr>
              <w:pStyle w:val="12"/>
              <w:numPr>
                <w:ilvl w:val="0"/>
                <w:numId w:val="0"/>
              </w:numPr>
              <w:snapToGrid w:val="0"/>
              <w:spacing w:before="0" w:after="0" w:line="240" w:lineRule="auto"/>
              <w:ind w:left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推理与主旨题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E1340F">
            <w:pPr>
              <w:pStyle w:val="12"/>
              <w:numPr>
                <w:ilvl w:val="0"/>
                <w:numId w:val="0"/>
              </w:numPr>
              <w:snapToGrid w:val="0"/>
              <w:spacing w:before="0" w:after="0" w:line="240" w:lineRule="auto"/>
              <w:ind w:leftChars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需理解隐含意图或概括核心内容</w:t>
            </w:r>
          </w:p>
        </w:tc>
        <w:tc>
          <w:tcPr>
            <w:tcW w:w="8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361A08">
            <w:pPr>
              <w:pStyle w:val="12"/>
              <w:numPr>
                <w:ilvl w:val="0"/>
                <w:numId w:val="0"/>
              </w:numPr>
              <w:snapToGrid w:val="0"/>
              <w:spacing w:before="0" w:after="0" w:line="240" w:lineRule="auto"/>
              <w:ind w:leftChars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1.推理题：重点听 “but/however” 等转折词，以及一般疑问句的肯定 / 否定回答；2. 主旨题：抓对话开头 / 结尾的总结句，归纳双方核心谈论话题。</w:t>
            </w:r>
          </w:p>
        </w:tc>
      </w:tr>
    </w:tbl>
    <w:p w14:paraId="2A4AF5C4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24"/>
          <w:shd w:val="clear" w:color="auto" w:fill="auto"/>
          <w:lang w:val="en-US" w:eastAsia="zh-CN"/>
        </w:rPr>
        <w:t>通用解题步骤</w:t>
      </w:r>
    </w:p>
    <w:p w14:paraId="7398CA9D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highlight w:val="yellow"/>
          <w:shd w:val="clear" w:color="auto" w:fill="auto"/>
          <w:lang w:val="en-US" w:eastAsia="zh-CN"/>
        </w:rPr>
        <w:t>听前预测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：利用试音和题目间隙，标记题干关键词，预测对话 / 短文主题；表格填空题需预判空格词性（名词 / 动词 / 形容词）。</w:t>
      </w:r>
    </w:p>
    <w:p w14:paraId="31F8A30F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highlight w:val="yellow"/>
          <w:shd w:val="clear" w:color="auto" w:fill="auto"/>
          <w:lang w:val="en-US" w:eastAsia="zh-CN"/>
        </w:rPr>
        <w:t>听中专注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：优先抓开头结尾的主题信息，用缩写（如 “3pm”“$50”）快速记录关键信息；表格题第一遍通听大意，第二、三遍补全空格。</w:t>
      </w:r>
    </w:p>
    <w:p w14:paraId="6A67D64A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z w:val="24"/>
          <w:szCs w:val="24"/>
          <w:highlight w:val="yellow"/>
          <w:shd w:val="clear" w:color="auto" w:fill="auto"/>
          <w:lang w:val="en-US" w:eastAsia="zh-CN"/>
        </w:rPr>
        <w:t>听后检查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：将表格答案代入原文，核对时态（如过去式）、单复数（如名词 s 结尾）、大小写（如句首字母）是否正确。</w:t>
      </w:r>
    </w:p>
    <w:p w14:paraId="591E55AC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/>
          <w:bCs/>
          <w:color w:val="0000FF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pict>
          <v:rect id="_x0000_i102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  <w:r>
        <w:rPr>
          <w:rFonts w:hint="eastAsia" w:ascii="微软雅黑" w:hAnsi="微软雅黑" w:eastAsia="微软雅黑" w:cs="微软雅黑"/>
          <w:b/>
          <w:bCs/>
          <w:color w:val="0000FF"/>
          <w:sz w:val="28"/>
          <w:szCs w:val="28"/>
          <w:shd w:val="clear" w:color="auto" w:fill="auto"/>
          <w:lang w:val="en-US" w:eastAsia="zh-CN"/>
        </w:rPr>
        <w:t>二、语法选择</w:t>
      </w:r>
    </w:p>
    <w:p w14:paraId="03702A6D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1.快速通读全文，掌握短文主旨。</w:t>
      </w:r>
    </w:p>
    <w:p w14:paraId="18F62107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通篇浏览短文，掌握文中时间、地点、人物以及事件等关键信息。特别要注意认真阅读短文的开头句，因为开头句一般不设置空格，为考生提供某种语境或提供主题信息。通读全文时，不要拘泥于一词一义的理解，对个别不认识的单词、短语，只要不影响理解全文就可以不管它。</w:t>
      </w:r>
      <w:r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ab/>
      </w:r>
    </w:p>
    <w:p w14:paraId="43836C70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2.识别短语、句型，注意固定搭配。</w:t>
      </w:r>
    </w:p>
    <w:p w14:paraId="635FEBE0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语法选择的短文中一定会出现一些常用的固定搭配或句型。如动词短语: laugh at, take care of, give up, agree with等;介词短语: in surprise, at the age of等;句型: it is… for sb. to do sth., it takes sb. some time to do sth.等。同学们平时注意常用短语和句型的整体记忆，掌握它们的搭配规律，做题时就能得心应手，减少失误，提高准确率。</w:t>
      </w:r>
    </w:p>
    <w:p w14:paraId="7C608729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3.运用语法规则，理顺搭配关系。</w:t>
      </w:r>
    </w:p>
    <w:p w14:paraId="03A12651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语法知识是指导解答该题的法宝，因为词汇要根据语法规则确定各自的位置。有了语法规则，文章才能有条不紊，顺理成章。如介词后面的代词一定用宾格，物质名词一般不用复数(大部分是不可数名词)，修饰不定代词的形容词放在不定代词的后面，情态动词后面用动词原形，非谓语动词的考查，定语从句的考查等。</w:t>
      </w:r>
    </w:p>
    <w:p w14:paraId="3E3D6F74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4.遇到难题，反复默念。</w:t>
      </w:r>
    </w:p>
    <w:p w14:paraId="0107E909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考生有时会遇到难选的题目，如果时间允许，不要轻易放弃，可先从语法角度考虑，再从逻辑角度考虑隐含意思、作者的情感以及背景文化和习俗等。有时句子好像什么也不缺，读上去很完整，很可能缺的就是连词 and，副词then, always, sometimes, never, often, hardly等，但要注意把这些词代进去，看哪个意思符合。如果还未选出，应反复默念几遍，这时有些词就会悄然而至，从记忆中浮现出来。</w:t>
      </w:r>
    </w:p>
    <w:p w14:paraId="4A69DD21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5.细心检查，避免疏漏。</w:t>
      </w:r>
    </w:p>
    <w:p w14:paraId="53B12734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选项填完后，再次通读短文，从整体上检查短文的结构、语义以及逻辑意义是否一致，上下文衔接是否合理。</w:t>
      </w:r>
    </w:p>
    <w:p w14:paraId="50DF99A7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/>
          <w:bCs/>
          <w:color w:val="0000FF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0000FF"/>
          <w:sz w:val="28"/>
          <w:szCs w:val="28"/>
          <w:shd w:val="clear" w:color="auto" w:fill="auto"/>
          <w:lang w:val="en-US" w:eastAsia="zh-CN"/>
        </w:rPr>
        <w:t>三、完形填空</w:t>
      </w:r>
    </w:p>
    <w:p w14:paraId="46A1A8F8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完形填空的核心是 “通过语境逻辑补全文章”，需避免孤立看空，注重上下文关联。</w:t>
      </w:r>
    </w:p>
    <w:p w14:paraId="4A8B45BC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口诀技巧：研究首尾找主题→上下联系寻信息→左顾右盼找搭配→代入验证求合理</w:t>
      </w:r>
    </w:p>
    <w:p w14:paraId="2E2393F5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解题 3 步法</w:t>
      </w:r>
    </w:p>
    <w:p w14:paraId="68BFBE43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1.首遍通读（无空格阅读）：不看选项，快速读全文，把握文章主旨（如故事类的情节、说明类的主题）和情感基调，标记可能影响逻辑的关联词（如 but/so）。</w:t>
      </w:r>
    </w:p>
    <w:p w14:paraId="7B8BC58A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2.二遍精读（边读边填）：遵循 “先易后难” 原则，对有把握的空直接选择，不确定的空做记号；填空时需兼顾：</w:t>
      </w:r>
    </w:p>
    <w:p w14:paraId="74F751AD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语法正确性（如时态、主谓一致、固定搭配）；</w:t>
      </w:r>
    </w:p>
    <w:p w14:paraId="3052E125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语境合理性（如上下文是否连贯、情感是否匹配）。</w:t>
      </w:r>
    </w:p>
    <w:p w14:paraId="5B6AA813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3.三遍复核（全文验证）：将所有选项代入原文，通读检查：</w:t>
      </w:r>
    </w:p>
    <w:p w14:paraId="097F4E29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逻辑是否通顺（如转折、因果关系是否合理）；</w:t>
      </w:r>
    </w:p>
    <w:p w14:paraId="54E2E5C0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语义是否完整（无断层、无矛盾）；</w:t>
      </w:r>
    </w:p>
    <w:p w14:paraId="267169B4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避免 “语法正确但语义不符” 的选项。</w:t>
      </w:r>
    </w:p>
    <w:p w14:paraId="375B1996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bCs/>
          <w:color w:val="0000FF"/>
          <w:sz w:val="28"/>
          <w:szCs w:val="28"/>
          <w:shd w:val="clear" w:color="auto" w:fill="auto"/>
          <w:lang w:val="en-US" w:eastAsia="zh-CN"/>
        </w:rPr>
        <w:t>四、阅读理解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（5 大题型 + 4 步解题流程）</w:t>
      </w:r>
    </w:p>
    <w:p w14:paraId="0AAF110D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bCs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 xml:space="preserve">阅读理解考查 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“信息提取与深度理解”，需针对不同题型用不同策略，同时遵循标准化解题流程。</w:t>
      </w:r>
    </w:p>
    <w:p w14:paraId="328E026D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default" w:ascii="微软雅黑" w:hAnsi="微软雅黑" w:eastAsia="微软雅黑" w:cs="微软雅黑"/>
          <w:b/>
          <w:bCs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bCs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通用技巧：</w:t>
      </w:r>
    </w:p>
    <w:p w14:paraId="56565654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1.A/C 篇（简单题）</w:t>
      </w:r>
    </w:p>
    <w:p w14:paraId="565744D5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题干关键词定位原文，直接找答案（注意同义转换，如 opposite→across from）</w:t>
      </w:r>
    </w:p>
    <w:p w14:paraId="16192B4D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2.B 篇（较难题）</w:t>
      </w:r>
    </w:p>
    <w:p w14:paraId="4403462A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推理题用 “排除法”，避免选原文原句；词义猜测结合上下文语境</w:t>
      </w:r>
    </w:p>
    <w:p w14:paraId="1EE6BC9C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/>
          <w:bCs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bCs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4 步基础解题流程</w:t>
      </w:r>
    </w:p>
    <w:p w14:paraId="3A3F9B0C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速读定体裁：读首尾段和每段首句，确定文章是记叙文、说明文、议论文还是应用文，明确核心主题。</w:t>
      </w:r>
    </w:p>
    <w:p w14:paraId="62DDFB4E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题干锁关键词：圈画题干中的人名、时间、地点等定位词，避免盲目通读。</w:t>
      </w:r>
    </w:p>
    <w:p w14:paraId="55F6D2E2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细读找依据：根据关键词定位到原文段落，对比选项与原文表述，排除干扰项。</w:t>
      </w:r>
    </w:p>
    <w:p w14:paraId="280E5486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复读验答案：通读全文，检查答案是否符合文章主旨，逻辑是否一致。</w:t>
      </w:r>
    </w:p>
    <w:p w14:paraId="7C031EEA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/>
          <w:bCs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bCs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分题型技巧</w:t>
      </w:r>
    </w:p>
    <w:p w14:paraId="5EEFBF4A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bCs/>
          <w:color w:val="000000" w:themeColor="text1"/>
          <w:sz w:val="24"/>
          <w:szCs w:val="24"/>
          <w:highlight w:val="yellow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细节理解题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：答案多为原文同义替换，需警惕 “张冠李戴”“无中生有” 的干扰项；是非题需逐一核对选项与原文。</w:t>
      </w:r>
    </w:p>
    <w:p w14:paraId="2E40C2A1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bCs/>
          <w:color w:val="000000" w:themeColor="text1"/>
          <w:sz w:val="24"/>
          <w:szCs w:val="24"/>
          <w:highlight w:val="yellow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主旨大意题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：找主题句（多在段首 / 段末），避免选择 “以偏概全” 的细节选项；标题题需简洁且涵盖全文核心。</w:t>
      </w:r>
    </w:p>
    <w:p w14:paraId="41400BB0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bCs/>
          <w:color w:val="000000" w:themeColor="text1"/>
          <w:sz w:val="24"/>
          <w:szCs w:val="24"/>
          <w:highlight w:val="yellow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词义猜测题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：通过 “因果关系（because/so）”“同义词（and/or）”“构词法（dis - 否定前缀）”“上下文描述” 推断词义，不依赖词典义。</w:t>
      </w:r>
    </w:p>
    <w:p w14:paraId="451C0059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bCs/>
          <w:color w:val="000000" w:themeColor="text1"/>
          <w:sz w:val="24"/>
          <w:szCs w:val="24"/>
          <w:highlight w:val="yellow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推理判断题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：答案需 “基于原文推断”，不主观臆断；作者态度题关注形容词、副词等情感词（如 positive/negative）。</w:t>
      </w:r>
    </w:p>
    <w:p w14:paraId="612DA2A5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bCs/>
          <w:color w:val="000000" w:themeColor="text1"/>
          <w:sz w:val="24"/>
          <w:szCs w:val="24"/>
          <w:highlight w:val="yellow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选句填空题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（E 篇）：首段空多为总起句，中间空需衔接上下文逻辑（如转折 / 递进），尾段空多为总结或祝愿句；代入后检查语义是否连贯。</w:t>
      </w:r>
    </w:p>
    <w:p w14:paraId="0FF3A4F5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/>
          <w:bCs/>
          <w:color w:val="0000FF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0000FF"/>
          <w:sz w:val="28"/>
          <w:szCs w:val="28"/>
          <w:shd w:val="clear" w:color="auto" w:fill="auto"/>
          <w:lang w:val="en-US" w:eastAsia="zh-CN"/>
        </w:rPr>
        <w:t>五、短文填词（4 步解题法）</w:t>
      </w:r>
    </w:p>
    <w:p w14:paraId="75E1C51E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短文填词核心是 “语境 + 语法双匹配”，需保证所填单词意义准确、形式正确。</w:t>
      </w:r>
    </w:p>
    <w:p w14:paraId="19041A98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1.速读预判词性：快速读全文，根据空格前后的词（如冠词 a/an 后接名词）预判空格词性（名词 / 动词 / 形容词等）。</w:t>
      </w:r>
    </w:p>
    <w:p w14:paraId="288305CB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2.通读定词义：结合上下文语境，猜测空格含义，优先考虑课标词汇（如看到 “every day” 可联想到 “daily”）。</w:t>
      </w:r>
    </w:p>
    <w:p w14:paraId="0E2DA957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3.填词顾语法：注意 “瞻前顾后”，如动词需考虑时态（过去式 /ing 形式）、名词需考虑单复数、形容词需考虑比较级。</w:t>
      </w:r>
    </w:p>
    <w:p w14:paraId="15BC2F2A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4.复核查细节：通读全文，检查单词拼写、语法形式（如动词第三人称单数）、大小写是否正确，确保行文连贯。</w:t>
      </w:r>
    </w:p>
    <w:p w14:paraId="7774F8CF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pict>
          <v:rect id="_x0000_i1026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705D5645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/>
          <w:bCs/>
          <w:color w:val="0000FF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0000FF"/>
          <w:sz w:val="28"/>
          <w:szCs w:val="28"/>
          <w:shd w:val="clear" w:color="auto" w:fill="auto"/>
          <w:lang w:val="en-US" w:eastAsia="zh-CN"/>
        </w:rPr>
        <w:t>六、回答问题</w:t>
      </w:r>
    </w:p>
    <w:p w14:paraId="61921123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1.明确设题形式</w:t>
      </w:r>
    </w:p>
    <w:p w14:paraId="5A50348E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设题形式可归为两大类：特殊疑问句和开放性试题。</w:t>
      </w:r>
    </w:p>
    <w:p w14:paraId="7EE8C88B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(1)特殊疑问句</w:t>
      </w:r>
    </w:p>
    <w:p w14:paraId="65A72A61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回答特殊疑问句，要根据具体的特殊疑问词(组)来确定答案内容，具体如下：</w:t>
      </w:r>
    </w:p>
    <w:tbl>
      <w:tblPr>
        <w:tblStyle w:val="13"/>
        <w:tblW w:w="0" w:type="auto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9"/>
        <w:gridCol w:w="1419"/>
        <w:gridCol w:w="6575"/>
      </w:tblGrid>
      <w:tr w14:paraId="4F6379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349" w:type="dxa"/>
            <w:vAlign w:val="center"/>
          </w:tcPr>
          <w:p w14:paraId="352623B9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特殊疑问词(组)</w:t>
            </w:r>
          </w:p>
        </w:tc>
        <w:tc>
          <w:tcPr>
            <w:tcW w:w="1419" w:type="dxa"/>
            <w:vAlign w:val="center"/>
          </w:tcPr>
          <w:p w14:paraId="1B500C08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  <w:tc>
          <w:tcPr>
            <w:tcW w:w="6575" w:type="dxa"/>
            <w:vAlign w:val="center"/>
          </w:tcPr>
          <w:p w14:paraId="58223DD3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答题规范</w:t>
            </w:r>
          </w:p>
        </w:tc>
      </w:tr>
      <w:tr w14:paraId="7EF731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1349" w:type="dxa"/>
            <w:vMerge w:val="restart"/>
            <w:vAlign w:val="center"/>
          </w:tcPr>
          <w:p w14:paraId="3F9088E9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What</w:t>
            </w:r>
          </w:p>
        </w:tc>
        <w:tc>
          <w:tcPr>
            <w:tcW w:w="1419" w:type="dxa"/>
            <w:vAlign w:val="center"/>
          </w:tcPr>
          <w:p w14:paraId="44A81C9C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问动作</w:t>
            </w:r>
          </w:p>
        </w:tc>
        <w:tc>
          <w:tcPr>
            <w:tcW w:w="6575" w:type="dxa"/>
            <w:vAlign w:val="center"/>
          </w:tcPr>
          <w:p w14:paraId="21FAAAAD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必须用完整句子回答</w:t>
            </w:r>
          </w:p>
        </w:tc>
      </w:tr>
      <w:tr w14:paraId="17B469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1349" w:type="dxa"/>
            <w:vMerge w:val="continue"/>
          </w:tcPr>
          <w:p w14:paraId="686450E1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9" w:type="dxa"/>
            <w:vAlign w:val="center"/>
          </w:tcPr>
          <w:p w14:paraId="2B3A0BC9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问看法</w:t>
            </w:r>
          </w:p>
        </w:tc>
        <w:tc>
          <w:tcPr>
            <w:tcW w:w="6575" w:type="dxa"/>
            <w:vAlign w:val="center"/>
          </w:tcPr>
          <w:p w14:paraId="74B44178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adj./主语+ be 动词+ adj.</w:t>
            </w:r>
          </w:p>
        </w:tc>
      </w:tr>
      <w:tr w14:paraId="063DFCC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349" w:type="dxa"/>
            <w:vAlign w:val="center"/>
          </w:tcPr>
          <w:p w14:paraId="0E48C07D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Who</w:t>
            </w:r>
          </w:p>
        </w:tc>
        <w:tc>
          <w:tcPr>
            <w:tcW w:w="1419" w:type="dxa"/>
            <w:vAlign w:val="center"/>
          </w:tcPr>
          <w:p w14:paraId="177CDD17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问人物(主语/宾语)</w:t>
            </w:r>
          </w:p>
        </w:tc>
        <w:tc>
          <w:tcPr>
            <w:tcW w:w="6575" w:type="dxa"/>
            <w:vAlign w:val="center"/>
          </w:tcPr>
          <w:p w14:paraId="51261652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可直接简要回答，问什么答什么，直奔主题</w:t>
            </w:r>
          </w:p>
        </w:tc>
      </w:tr>
      <w:tr w14:paraId="6EB456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1349" w:type="dxa"/>
            <w:vAlign w:val="center"/>
          </w:tcPr>
          <w:p w14:paraId="7C11213F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When</w:t>
            </w:r>
          </w:p>
        </w:tc>
        <w:tc>
          <w:tcPr>
            <w:tcW w:w="1419" w:type="dxa"/>
            <w:vAlign w:val="center"/>
          </w:tcPr>
          <w:p w14:paraId="33FE2BD9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问时间</w:t>
            </w:r>
          </w:p>
        </w:tc>
        <w:tc>
          <w:tcPr>
            <w:tcW w:w="6575" w:type="dxa"/>
            <w:vAlign w:val="center"/>
          </w:tcPr>
          <w:p w14:paraId="657D39F3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考虑时间之前是否加介词</w:t>
            </w:r>
          </w:p>
        </w:tc>
      </w:tr>
      <w:tr w14:paraId="631442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1349" w:type="dxa"/>
            <w:vAlign w:val="center"/>
          </w:tcPr>
          <w:p w14:paraId="387E5A7D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Where</w:t>
            </w:r>
          </w:p>
        </w:tc>
        <w:tc>
          <w:tcPr>
            <w:tcW w:w="1419" w:type="dxa"/>
            <w:vAlign w:val="center"/>
          </w:tcPr>
          <w:p w14:paraId="15F9D870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问地点</w:t>
            </w:r>
          </w:p>
        </w:tc>
        <w:tc>
          <w:tcPr>
            <w:tcW w:w="6575" w:type="dxa"/>
            <w:vAlign w:val="center"/>
          </w:tcPr>
          <w:p w14:paraId="7163C259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可直接答地点，除地点副词可直接回答外，其余情况都需要用介词/介词短语+地点名词来回答</w:t>
            </w:r>
          </w:p>
        </w:tc>
      </w:tr>
      <w:tr w14:paraId="0A0BF5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</w:trPr>
        <w:tc>
          <w:tcPr>
            <w:tcW w:w="1349" w:type="dxa"/>
            <w:vMerge w:val="restart"/>
            <w:vAlign w:val="center"/>
          </w:tcPr>
          <w:p w14:paraId="199F6130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How</w:t>
            </w:r>
          </w:p>
        </w:tc>
        <w:tc>
          <w:tcPr>
            <w:tcW w:w="1419" w:type="dxa"/>
            <w:vAlign w:val="center"/>
          </w:tcPr>
          <w:p w14:paraId="3931D1E3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问出行方式</w:t>
            </w:r>
          </w:p>
        </w:tc>
        <w:tc>
          <w:tcPr>
            <w:tcW w:w="6575" w:type="dxa"/>
            <w:vAlign w:val="center"/>
          </w:tcPr>
          <w:p w14:paraId="67C027CF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by bus/ bike/ plane/ train...</w:t>
            </w:r>
          </w:p>
        </w:tc>
      </w:tr>
      <w:tr w14:paraId="5B15C4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349" w:type="dxa"/>
            <w:vMerge w:val="continue"/>
          </w:tcPr>
          <w:p w14:paraId="29F3CF2F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9" w:type="dxa"/>
            <w:vAlign w:val="center"/>
          </w:tcPr>
          <w:p w14:paraId="3EFEAFBF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问感受</w:t>
            </w:r>
          </w:p>
        </w:tc>
        <w:tc>
          <w:tcPr>
            <w:tcW w:w="6575" w:type="dxa"/>
            <w:vAlign w:val="center"/>
          </w:tcPr>
          <w:p w14:paraId="78F55640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sb. feel/ felt excited/ happy/surprised/ upset/ bored...</w:t>
            </w:r>
          </w:p>
        </w:tc>
      </w:tr>
      <w:tr w14:paraId="2EF5FD7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49" w:type="dxa"/>
            <w:vMerge w:val="continue"/>
          </w:tcPr>
          <w:p w14:paraId="1FFD5243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9" w:type="dxa"/>
            <w:vAlign w:val="center"/>
          </w:tcPr>
          <w:p w14:paraId="2FB84853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问方法</w:t>
            </w:r>
          </w:p>
        </w:tc>
        <w:tc>
          <w:tcPr>
            <w:tcW w:w="6575" w:type="dxa"/>
            <w:vAlign w:val="center"/>
          </w:tcPr>
          <w:p w14:paraId="43618D06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by doɪng sth./用含方式的完整句回答</w:t>
            </w:r>
          </w:p>
        </w:tc>
      </w:tr>
      <w:tr w14:paraId="798642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349" w:type="dxa"/>
            <w:vAlign w:val="center"/>
          </w:tcPr>
          <w:p w14:paraId="4D315361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Why</w:t>
            </w:r>
          </w:p>
        </w:tc>
        <w:tc>
          <w:tcPr>
            <w:tcW w:w="1419" w:type="dxa"/>
            <w:vAlign w:val="center"/>
          </w:tcPr>
          <w:p w14:paraId="5FBA5F17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问原因</w:t>
            </w:r>
          </w:p>
        </w:tc>
        <w:tc>
          <w:tcPr>
            <w:tcW w:w="6575" w:type="dxa"/>
            <w:vAlign w:val="center"/>
          </w:tcPr>
          <w:p w14:paraId="3340B4B6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Because+从句/ Because of+名词短语/动词不定式短语</w:t>
            </w:r>
          </w:p>
        </w:tc>
      </w:tr>
      <w:tr w14:paraId="39CE2F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0" w:hRule="atLeast"/>
        </w:trPr>
        <w:tc>
          <w:tcPr>
            <w:tcW w:w="1349" w:type="dxa"/>
            <w:vAlign w:val="center"/>
          </w:tcPr>
          <w:p w14:paraId="60472DCB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How</w:t>
            </w:r>
          </w:p>
          <w:p w14:paraId="7C65FD63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many</w:t>
            </w:r>
          </w:p>
        </w:tc>
        <w:tc>
          <w:tcPr>
            <w:tcW w:w="1419" w:type="dxa"/>
            <w:vAlign w:val="center"/>
          </w:tcPr>
          <w:p w14:paraId="5E80F79F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问数量</w:t>
            </w:r>
          </w:p>
        </w:tc>
        <w:tc>
          <w:tcPr>
            <w:tcW w:w="6575" w:type="dxa"/>
            <w:vAlign w:val="center"/>
          </w:tcPr>
          <w:p w14:paraId="5064C7D6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数字准确，直接回答。注意在数字之前是否有 nearly，about, more/ less than 等词(组)，往往数字之后要加上合适的数量单位</w:t>
            </w:r>
          </w:p>
        </w:tc>
      </w:tr>
      <w:tr w14:paraId="10163F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</w:trPr>
        <w:tc>
          <w:tcPr>
            <w:tcW w:w="1349" w:type="dxa"/>
            <w:vMerge w:val="restart"/>
            <w:vAlign w:val="center"/>
          </w:tcPr>
          <w:p w14:paraId="17EC5E4F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How </w:t>
            </w:r>
          </w:p>
          <w:p w14:paraId="40F1840A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long</w:t>
            </w:r>
          </w:p>
        </w:tc>
        <w:tc>
          <w:tcPr>
            <w:tcW w:w="1419" w:type="dxa"/>
            <w:vAlign w:val="center"/>
          </w:tcPr>
          <w:p w14:paraId="106DAFEF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问时间长短</w:t>
            </w:r>
          </w:p>
        </w:tc>
        <w:tc>
          <w:tcPr>
            <w:tcW w:w="6575" w:type="dxa"/>
            <w:vAlign w:val="center"/>
          </w:tcPr>
          <w:p w14:paraId="0EC14228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for+限定词+一段时间</w:t>
            </w:r>
          </w:p>
        </w:tc>
      </w:tr>
      <w:tr w14:paraId="01E3B4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49" w:type="dxa"/>
            <w:vMerge w:val="continue"/>
          </w:tcPr>
          <w:p w14:paraId="226C30F1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9" w:type="dxa"/>
            <w:vAlign w:val="center"/>
          </w:tcPr>
          <w:p w14:paraId="5813473E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问长度</w:t>
            </w:r>
          </w:p>
        </w:tc>
        <w:tc>
          <w:tcPr>
            <w:tcW w:w="6575" w:type="dxa"/>
            <w:vAlign w:val="center"/>
          </w:tcPr>
          <w:p w14:paraId="08EE8716">
            <w:pPr>
              <w:pStyle w:val="12"/>
              <w:numPr>
                <w:ilvl w:val="0"/>
                <w:numId w:val="0"/>
              </w:numPr>
              <w:spacing w:before="0" w:after="0" w:line="240" w:lineRule="auto"/>
              <w:ind w:leftChars="0"/>
              <w:jc w:val="both"/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限定词(about, more than , lessthan等)+数字+计量单位</w:t>
            </w:r>
          </w:p>
        </w:tc>
      </w:tr>
    </w:tbl>
    <w:p w14:paraId="34BE2F09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【解题技巧】</w:t>
      </w:r>
    </w:p>
    <w:p w14:paraId="0DC531EC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①准确理解疑问句句意，重点把握特殊疑问词在原文中</w:t>
      </w:r>
    </w:p>
    <w:p w14:paraId="5210B956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所指代的内容；</w:t>
      </w:r>
    </w:p>
    <w:p w14:paraId="25DCBF33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②询问动作必须用完整句回答，直接用动词原形或过去</w:t>
      </w:r>
    </w:p>
    <w:p w14:paraId="1FD2646A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式回答都是错的；</w:t>
      </w:r>
    </w:p>
    <w:p w14:paraId="375C4959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③注意答语单复数代词的应用，确保与原文单复数名词</w:t>
      </w:r>
    </w:p>
    <w:p w14:paraId="1A226A0B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保持一致，不可数名词一律用 it替代；</w:t>
      </w:r>
    </w:p>
    <w:p w14:paraId="2EBC93C8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④To+动词原形既能表目的也能表原因；</w:t>
      </w:r>
    </w:p>
    <w:p w14:paraId="3D61DFAF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⑤作答时注意根据题干转化人称和时态，如题干为人</w:t>
      </w:r>
    </w:p>
    <w:p w14:paraId="590AF0BA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名，根据文章内容判断为男名还是女名，答案使用对应</w:t>
      </w:r>
    </w:p>
    <w:p w14:paraId="1CCBA2F4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人称代词；</w:t>
      </w:r>
    </w:p>
    <w:p w14:paraId="01CE39AB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⑥注意答案写完统一用英语句号“.”。</w:t>
      </w:r>
    </w:p>
    <w:p w14:paraId="677554A6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(2)开放性试题</w:t>
      </w:r>
    </w:p>
    <w:p w14:paraId="3F3C663E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/>
          <w:bCs/>
          <w:color w:val="0000FF"/>
          <w:sz w:val="28"/>
          <w:szCs w:val="28"/>
          <w:shd w:val="clear" w:color="auto" w:fill="auto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针对开放性试题，其答题思路具体如下图：</w:t>
      </w:r>
    </w:p>
    <w:p w14:paraId="1E08D8BB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bCs/>
          <w:color w:val="0000FF"/>
          <w:sz w:val="28"/>
          <w:szCs w:val="28"/>
          <w:shd w:val="clear" w:color="auto" w:fill="auto"/>
          <w:lang w:val="en-US" w:eastAsia="zh-CN"/>
        </w:rPr>
        <w:t>七、书面表达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（4 步拿高分）</w:t>
      </w:r>
    </w:p>
    <w:p w14:paraId="71BCAD9B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 xml:space="preserve">书面表达需 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  <w:t>“审题准、结构清、语言优、书写规范”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，分步骤优化文章质量。</w:t>
      </w:r>
    </w:p>
    <w:p w14:paraId="53B34917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1.审题抓核心：</w:t>
      </w:r>
    </w:p>
    <w:p w14:paraId="3535D736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明确体裁（书信、通知、演讲稿等）、人称（第一 / 第三人称）、时态（一般现在时 / 过去时）；</w:t>
      </w:r>
    </w:p>
    <w:p w14:paraId="4F664DC0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划分要点，确保不遗漏（如图表、提示中的所有信息），标记 “必须包含” 的内容。</w:t>
      </w:r>
    </w:p>
    <w:p w14:paraId="018C1CC8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2.谋篇定结构：</w:t>
      </w:r>
    </w:p>
    <w:p w14:paraId="4D4A4AAD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说明文 / 书信常用 “总 - 分 - 总” 结构：开头引入主题，中间分点阐述（如原因、建议），结尾总结或表达祝愿；</w:t>
      </w:r>
    </w:p>
    <w:p w14:paraId="2BAD42C7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3.列简单提纲，如 “开头：介绍活动→中间：活动时间 / 内容→结尾：邀请参与”。</w:t>
      </w:r>
    </w:p>
    <w:p w14:paraId="6E0B59CD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优化提文采：</w:t>
      </w:r>
    </w:p>
    <w:p w14:paraId="5980EED5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4.句子优化：</w:t>
      </w:r>
      <w:r>
        <w:rPr>
          <w:rFonts w:hint="eastAsia" w:ascii="Times New Roman" w:hAnsi="Times New Roman" w:eastAsia="微软雅黑" w:cs="Times New Roman"/>
          <w:b/>
          <w:bCs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用 “</w:t>
      </w:r>
      <w:r>
        <w:rPr>
          <w:rFonts w:hint="default" w:ascii="Times New Roman" w:hAnsi="Times New Roman" w:eastAsia="微软雅黑" w:cs="Times New Roman"/>
          <w:b/>
          <w:bCs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not only...but also...”“it’s + adj. + to do”</w:t>
      </w:r>
      <w:r>
        <w:rPr>
          <w:rFonts w:hint="eastAsia" w:ascii="Times New Roman" w:hAnsi="Times New Roman" w:eastAsia="微软雅黑" w:cs="Times New Roman"/>
          <w:b/>
          <w:bCs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 xml:space="preserve"> 等句式替换简单句，避免重复用词；</w:t>
      </w:r>
    </w:p>
    <w:p w14:paraId="0211ED59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5.巧用过渡词：</w:t>
      </w:r>
      <w:r>
        <w:rPr>
          <w:rFonts w:hint="eastAsia" w:ascii="Times New Roman" w:hAnsi="Times New Roman" w:eastAsia="微软雅黑" w:cs="Times New Roman"/>
          <w:b/>
          <w:bCs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开头用 “First of all”，递进用 “What’s more”，总结用 “In a word”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 w14:paraId="7B89A97A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6.避免中国式英语：</w:t>
      </w:r>
      <w:r>
        <w:rPr>
          <w:rFonts w:hint="eastAsia" w:ascii="Times New Roman" w:hAnsi="Times New Roman" w:eastAsia="微软雅黑" w:cs="Times New Roman"/>
          <w:b/>
          <w:bCs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如 “open the light” 改为 “turn on the light”。</w:t>
      </w:r>
    </w:p>
    <w:p w14:paraId="1BF39FAD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7.复核保规范：</w:t>
      </w:r>
    </w:p>
    <w:p w14:paraId="288EDFA8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8.检查语法（时态、单复数、标点）、词数（符合要求，不超太多或太少）；</w:t>
      </w:r>
    </w:p>
    <w:p w14:paraId="07B57692">
      <w:pPr>
        <w:pStyle w:val="12"/>
        <w:numPr>
          <w:ilvl w:val="0"/>
          <w:numId w:val="0"/>
        </w:numPr>
        <w:spacing w:before="0" w:after="0" w:line="240" w:lineRule="auto"/>
        <w:ind w:leftChars="0"/>
        <w:jc w:val="both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9.规范书写：字母大小写正确，字迹清晰，无涂改，保证卷面整洁。</w:t>
      </w:r>
    </w:p>
    <w:p w14:paraId="56B15A76">
      <w:pPr>
        <w:pStyle w:val="12"/>
        <w:spacing w:before="0" w:after="0" w:line="240" w:lineRule="auto"/>
        <w:ind w:firstLine="0" w:firstLineChars="0"/>
        <w:jc w:val="both"/>
        <w:rPr>
          <w:rFonts w:hint="eastAsia" w:ascii="微软雅黑" w:hAnsi="微软雅黑" w:eastAsia="微软雅黑" w:cs="微软雅黑"/>
          <w:color w:val="FF0000"/>
          <w:sz w:val="36"/>
          <w:szCs w:val="36"/>
          <w:shd w:val="clear" w:color="auto" w:fill="auto"/>
          <w:lang w:val="en-US" w:eastAsia="zh-CN"/>
        </w:rPr>
      </w:pPr>
      <w:r>
        <w:rPr>
          <w:rFonts w:hint="eastAsia" w:ascii="微软雅黑" w:hAnsi="微软雅黑" w:eastAsia="微软雅黑" w:cs="微软雅黑"/>
          <w:color w:val="FF0000"/>
          <w:sz w:val="36"/>
          <w:szCs w:val="36"/>
          <w:shd w:val="clear" w:color="auto" w:fill="auto"/>
          <w:lang w:val="en-US" w:eastAsia="zh-CN"/>
        </w:rPr>
        <w:t>三、英语学科学习 / 复习方法</w:t>
      </w:r>
    </w:p>
    <w:p w14:paraId="7EBAAB8C">
      <w:pPr>
        <w:pStyle w:val="5"/>
        <w:spacing w:line="240" w:lineRule="auto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词汇：紧扣课标词，结合课本、真题语境记忆，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>多积累课外高频词汇</w:t>
      </w:r>
      <w:r>
        <w:rPr>
          <w:b w:val="0"/>
          <w:bCs w:val="0"/>
          <w:sz w:val="22"/>
          <w:szCs w:val="22"/>
        </w:rPr>
        <w:t>。</w:t>
      </w:r>
    </w:p>
    <w:p w14:paraId="35232FC5">
      <w:pPr>
        <w:pStyle w:val="5"/>
        <w:spacing w:line="240" w:lineRule="auto"/>
        <w:rPr>
          <w:b w:val="0"/>
          <w:bCs w:val="0"/>
          <w:sz w:val="22"/>
          <w:szCs w:val="22"/>
        </w:rPr>
      </w:pPr>
      <w:r>
        <w:rPr>
          <w:rFonts w:hint="default"/>
          <w:b w:val="0"/>
          <w:bCs w:val="0"/>
          <w:sz w:val="22"/>
          <w:szCs w:val="22"/>
        </w:rPr>
        <w:t>听力：每天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>听力训练</w:t>
      </w:r>
      <w:r>
        <w:rPr>
          <w:rFonts w:hint="default"/>
          <w:b w:val="0"/>
          <w:bCs w:val="0"/>
          <w:sz w:val="22"/>
          <w:szCs w:val="22"/>
        </w:rPr>
        <w:t>，精听课本录音抓细节，泛听中考话题材料</w:t>
      </w:r>
      <w:r>
        <w:rPr>
          <w:rFonts w:hint="eastAsia"/>
          <w:b w:val="0"/>
          <w:bCs w:val="0"/>
          <w:sz w:val="22"/>
          <w:szCs w:val="22"/>
          <w:lang w:eastAsia="zh-CN"/>
        </w:rPr>
        <w:t>，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>大力</w:t>
      </w:r>
      <w:r>
        <w:rPr>
          <w:rFonts w:hint="default"/>
          <w:b w:val="0"/>
          <w:bCs w:val="0"/>
          <w:sz w:val="22"/>
          <w:szCs w:val="22"/>
        </w:rPr>
        <w:t>练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>听</w:t>
      </w:r>
      <w:r>
        <w:rPr>
          <w:rFonts w:hint="default"/>
          <w:b w:val="0"/>
          <w:bCs w:val="0"/>
          <w:sz w:val="22"/>
          <w:szCs w:val="22"/>
        </w:rPr>
        <w:t>感。</w:t>
      </w:r>
    </w:p>
    <w:p w14:paraId="720F18A8">
      <w:pPr>
        <w:pStyle w:val="5"/>
        <w:spacing w:line="240" w:lineRule="auto"/>
        <w:rPr>
          <w:b w:val="0"/>
          <w:bCs w:val="0"/>
          <w:sz w:val="22"/>
          <w:szCs w:val="22"/>
        </w:rPr>
      </w:pPr>
      <w:r>
        <w:rPr>
          <w:rFonts w:hint="default"/>
          <w:b w:val="0"/>
          <w:bCs w:val="0"/>
          <w:sz w:val="22"/>
          <w:szCs w:val="22"/>
        </w:rPr>
        <w:t>阅读：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>多做阅读训练</w:t>
      </w:r>
      <w:r>
        <w:rPr>
          <w:rFonts w:hint="default"/>
          <w:b w:val="0"/>
          <w:bCs w:val="0"/>
          <w:sz w:val="22"/>
          <w:szCs w:val="22"/>
        </w:rPr>
        <w:t>，积累话题好词；练速读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>和</w:t>
      </w:r>
      <w:r>
        <w:rPr>
          <w:rFonts w:hint="default"/>
          <w:b w:val="0"/>
          <w:bCs w:val="0"/>
          <w:sz w:val="22"/>
          <w:szCs w:val="22"/>
        </w:rPr>
        <w:t>抓段落主旨，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>大力培养语感</w:t>
      </w:r>
      <w:r>
        <w:rPr>
          <w:rFonts w:hint="default"/>
          <w:b w:val="0"/>
          <w:bCs w:val="0"/>
          <w:sz w:val="22"/>
          <w:szCs w:val="22"/>
        </w:rPr>
        <w:t>。</w:t>
      </w:r>
    </w:p>
    <w:p w14:paraId="6B468F43">
      <w:pPr>
        <w:pStyle w:val="5"/>
        <w:spacing w:line="240" w:lineRule="auto"/>
        <w:rPr>
          <w:b w:val="0"/>
          <w:bCs w:val="0"/>
          <w:sz w:val="22"/>
          <w:szCs w:val="22"/>
        </w:rPr>
      </w:pPr>
      <w:r>
        <w:rPr>
          <w:rFonts w:hint="default"/>
          <w:b w:val="0"/>
          <w:bCs w:val="0"/>
          <w:sz w:val="22"/>
          <w:szCs w:val="22"/>
        </w:rPr>
        <w:t>写作：</w:t>
      </w:r>
      <w:r>
        <w:rPr>
          <w:rFonts w:hint="eastAsia"/>
          <w:b w:val="0"/>
          <w:bCs w:val="0"/>
          <w:sz w:val="22"/>
          <w:szCs w:val="22"/>
          <w:lang w:val="en-US" w:eastAsia="zh-CN"/>
        </w:rPr>
        <w:t>多积累高级句型和好的表达，多背多默优秀作文，多进行主题写作训练，学会根据作文范文</w:t>
      </w:r>
      <w:r>
        <w:rPr>
          <w:rFonts w:hint="default"/>
          <w:b w:val="0"/>
          <w:bCs w:val="0"/>
          <w:sz w:val="22"/>
          <w:szCs w:val="22"/>
        </w:rPr>
        <w:t>仿写。</w:t>
      </w:r>
    </w:p>
    <w:p w14:paraId="1A085425">
      <w:pPr>
        <w:pStyle w:val="5"/>
        <w:spacing w:line="240" w:lineRule="auto"/>
        <w:rPr>
          <w:b w:val="0"/>
          <w:bCs w:val="0"/>
          <w:sz w:val="22"/>
          <w:szCs w:val="22"/>
        </w:rPr>
      </w:pPr>
      <w:r>
        <w:rPr>
          <w:rFonts w:hint="default"/>
          <w:b w:val="0"/>
          <w:bCs w:val="0"/>
          <w:sz w:val="22"/>
          <w:szCs w:val="22"/>
        </w:rPr>
        <w:t>语法：结合例句理解规则（如时态、从句），不死记；错题按 “词汇 / 语法 / 理解偏差” 分类。</w:t>
      </w:r>
    </w:p>
    <w:p w14:paraId="5096A68B">
      <w:pPr>
        <w:pStyle w:val="12"/>
        <w:spacing w:before="0" w:after="0" w:line="240" w:lineRule="auto"/>
        <w:ind w:firstLine="0" w:firstLineChars="0"/>
        <w:jc w:val="both"/>
        <w:rPr>
          <w:rFonts w:hint="eastAsia" w:ascii="微软雅黑" w:hAnsi="微软雅黑" w:eastAsia="微软雅黑" w:cs="微软雅黑"/>
          <w:color w:val="FF0000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微软雅黑" w:hAnsi="微软雅黑" w:eastAsia="微软雅黑" w:cs="微软雅黑"/>
          <w:color w:val="FF0000"/>
          <w:sz w:val="32"/>
          <w:szCs w:val="32"/>
          <w:shd w:val="clear" w:color="auto" w:fill="auto"/>
          <w:lang w:val="en-US" w:eastAsia="zh-CN"/>
        </w:rPr>
        <w:t>考前复习法</w:t>
      </w:r>
    </w:p>
    <w:p w14:paraId="172D4C5C">
      <w:pPr>
        <w:pStyle w:val="20"/>
        <w:numPr>
          <w:ilvl w:val="0"/>
          <w:numId w:val="1"/>
        </w:numPr>
        <w:spacing w:line="240" w:lineRule="auto"/>
      </w:pPr>
      <w:r>
        <w:rPr>
          <w:b/>
          <w:bCs/>
        </w:rPr>
        <w:t>一轮复习（单元扫盲）</w:t>
      </w:r>
    </w:p>
    <w:p w14:paraId="30ECC81E">
      <w:pPr>
        <w:pStyle w:val="20"/>
        <w:spacing w:line="240" w:lineRule="auto"/>
        <w:rPr>
          <w:rFonts w:hint="eastAsia" w:eastAsia="等线"/>
          <w:lang w:eastAsia="zh-CN"/>
        </w:rPr>
      </w:pPr>
      <w:r>
        <w:t>用 “知识清单 + 专项练” 覆盖 单词、短语、语法（参考）</w:t>
      </w:r>
      <w:r>
        <w:rPr>
          <w:rFonts w:hint="eastAsia"/>
          <w:lang w:eastAsia="zh-CN"/>
        </w:rPr>
        <w:t>。</w:t>
      </w:r>
    </w:p>
    <w:p w14:paraId="3E9F4326">
      <w:pPr>
        <w:pStyle w:val="20"/>
        <w:numPr>
          <w:ilvl w:val="0"/>
          <w:numId w:val="1"/>
        </w:numPr>
        <w:spacing w:line="240" w:lineRule="auto"/>
      </w:pPr>
      <w:r>
        <w:rPr>
          <w:b/>
          <w:bCs/>
        </w:rPr>
        <w:t>二轮复习（题型突破）</w:t>
      </w:r>
    </w:p>
    <w:p w14:paraId="739612CB">
      <w:pPr>
        <w:pStyle w:val="20"/>
        <w:spacing w:line="240" w:lineRule="auto"/>
        <w:rPr>
          <w:rFonts w:hint="eastAsia" w:eastAsia="等线"/>
          <w:lang w:eastAsia="zh-CN"/>
        </w:rPr>
      </w:pPr>
      <w:r>
        <w:t>针对中考题型集中训练，重点练语法填空、书面表达</w:t>
      </w:r>
      <w:r>
        <w:rPr>
          <w:rFonts w:hint="eastAsia"/>
          <w:lang w:eastAsia="zh-CN"/>
        </w:rPr>
        <w:t>。</w:t>
      </w:r>
    </w:p>
    <w:p w14:paraId="6F423F38">
      <w:pPr>
        <w:pStyle w:val="20"/>
        <w:numPr>
          <w:ilvl w:val="0"/>
          <w:numId w:val="1"/>
        </w:numPr>
        <w:spacing w:line="240" w:lineRule="auto"/>
      </w:pPr>
      <w:r>
        <w:rPr>
          <w:b/>
          <w:bCs/>
        </w:rPr>
        <w:t>三轮复习（真题模拟）</w:t>
      </w:r>
    </w:p>
    <w:p w14:paraId="49B235CC">
      <w:pPr>
        <w:pStyle w:val="20"/>
        <w:spacing w:line="240" w:lineRule="auto"/>
        <w:rPr>
          <w:rFonts w:hint="eastAsia" w:eastAsia="等线"/>
          <w:lang w:eastAsia="zh-CN"/>
        </w:rPr>
      </w:pPr>
      <w:r>
        <w:t>每周 1 套中考真题，复盘错题，回归教材查漏补缺</w:t>
      </w:r>
      <w:r>
        <w:rPr>
          <w:rFonts w:hint="eastAsia"/>
          <w:lang w:eastAsia="zh-CN"/>
        </w:rPr>
        <w:t>。</w:t>
      </w:r>
      <w:bookmarkStart w:id="0" w:name="_GoBack"/>
      <w:bookmarkEnd w:id="0"/>
    </w:p>
    <w:sectPr>
      <w:pgSz w:w="11906" w:h="16838"/>
      <w:pgMar w:top="567" w:right="567" w:bottom="567" w:left="567" w:header="851" w:footer="992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288" w:hanging="288"/>
      </w:pPr>
      <w:rPr>
        <w:color w:val="3370FF"/>
        <w:sz w:val="22"/>
        <w:szCs w:val="22"/>
      </w:rPr>
    </w:lvl>
    <w:lvl w:ilvl="1" w:tentative="0">
      <w:start w:val="1"/>
      <w:numFmt w:val="lowerLetter"/>
      <w:lvlText w:val="%2."/>
      <w:lvlJc w:val="left"/>
      <w:pPr>
        <w:ind w:left="720" w:hanging="288"/>
      </w:pPr>
      <w:rPr>
        <w:color w:val="3370FF"/>
        <w:sz w:val="22"/>
        <w:szCs w:val="22"/>
      </w:rPr>
    </w:lvl>
    <w:lvl w:ilvl="2" w:tentative="0">
      <w:start w:val="1"/>
      <w:numFmt w:val="lowerRoman"/>
      <w:lvlText w:val="%3."/>
      <w:lvlJc w:val="left"/>
      <w:pPr>
        <w:ind w:left="1152" w:hanging="288"/>
      </w:pPr>
      <w:rPr>
        <w:color w:val="3370FF"/>
        <w:sz w:val="22"/>
        <w:szCs w:val="22"/>
      </w:rPr>
    </w:lvl>
    <w:lvl w:ilvl="3" w:tentative="0">
      <w:start w:val="1"/>
      <w:numFmt w:val="decimal"/>
      <w:lvlText w:val="%4."/>
      <w:lvlJc w:val="left"/>
      <w:pPr>
        <w:ind w:left="1583" w:hanging="288"/>
      </w:pPr>
      <w:rPr>
        <w:color w:val="3370FF"/>
        <w:sz w:val="22"/>
        <w:szCs w:val="22"/>
      </w:rPr>
    </w:lvl>
    <w:lvl w:ilvl="4" w:tentative="0">
      <w:start w:val="1"/>
      <w:numFmt w:val="lowerLetter"/>
      <w:lvlText w:val="%5."/>
      <w:lvlJc w:val="left"/>
      <w:pPr>
        <w:ind w:left="2015" w:hanging="288"/>
      </w:pPr>
      <w:rPr>
        <w:color w:val="3370FF"/>
        <w:sz w:val="22"/>
        <w:szCs w:val="22"/>
      </w:rPr>
    </w:lvl>
    <w:lvl w:ilvl="5" w:tentative="0">
      <w:start w:val="1"/>
      <w:numFmt w:val="lowerRoman"/>
      <w:lvlText w:val="%6."/>
      <w:lvlJc w:val="left"/>
      <w:pPr>
        <w:ind w:left="2448" w:hanging="288"/>
      </w:pPr>
      <w:rPr>
        <w:color w:val="3370FF"/>
        <w:sz w:val="22"/>
        <w:szCs w:val="22"/>
      </w:rPr>
    </w:lvl>
    <w:lvl w:ilvl="6" w:tentative="0">
      <w:start w:val="1"/>
      <w:numFmt w:val="decimal"/>
      <w:lvlText w:val="%7."/>
      <w:lvlJc w:val="left"/>
      <w:pPr>
        <w:ind w:left="2879" w:hanging="288"/>
      </w:pPr>
      <w:rPr>
        <w:color w:val="3370FF"/>
        <w:sz w:val="22"/>
        <w:szCs w:val="22"/>
      </w:rPr>
    </w:lvl>
    <w:lvl w:ilvl="7" w:tentative="0">
      <w:start w:val="1"/>
      <w:numFmt w:val="lowerLetter"/>
      <w:lvlText w:val="%8."/>
      <w:lvlJc w:val="left"/>
      <w:pPr>
        <w:ind w:left="3312" w:hanging="288"/>
      </w:pPr>
      <w:rPr>
        <w:color w:val="3370FF"/>
        <w:sz w:val="22"/>
        <w:szCs w:val="22"/>
      </w:rPr>
    </w:lvl>
    <w:lvl w:ilvl="8" w:tentative="0">
      <w:start w:val="1"/>
      <w:numFmt w:val="lowerRoman"/>
      <w:lvlText w:val="%9."/>
      <w:lvlJc w:val="left"/>
      <w:pPr>
        <w:ind w:left="3744" w:hanging="288"/>
      </w:pPr>
      <w:rPr>
        <w:color w:val="3370FF"/>
        <w:sz w:val="22"/>
        <w:szCs w:val="22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defaultTabStop w:val="720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06431DD6"/>
    <w:rsid w:val="1D8A0662"/>
    <w:rsid w:val="3F8D7EC2"/>
    <w:rsid w:val="5BCD2BE7"/>
    <w:rsid w:val="685408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qFormat="1"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en-US" w:bidi="ar-SA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  <w:lang w:val="en-US" w:eastAsia="en-US" w:bidi="ar-SA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  <w:lang w:val="en-US" w:eastAsia="en-US" w:bidi="ar-SA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  <w:lang w:val="en-US" w:eastAsia="en-US" w:bidi="ar-SA"/>
    </w:rPr>
  </w:style>
  <w:style w:type="paragraph" w:styleId="5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  <w:lang w:val="en-US" w:eastAsia="en-US" w:bidi="ar-SA"/>
    </w:rPr>
  </w:style>
  <w:style w:type="paragraph" w:styleId="6">
    <w:name w:val="heading 5"/>
    <w:next w:val="1"/>
    <w:qFormat/>
    <w:uiPriority w:val="0"/>
    <w:pPr>
      <w:spacing w:before="240" w:after="120" w:line="288" w:lineRule="auto"/>
      <w:ind w:left="0"/>
      <w:jc w:val="left"/>
      <w:outlineLvl w:val="4"/>
    </w:pPr>
    <w:rPr>
      <w:rFonts w:ascii="Arial" w:hAnsi="Arial" w:eastAsia="等线" w:cs="Arial"/>
      <w:b/>
      <w:bCs/>
      <w:sz w:val="24"/>
      <w:szCs w:val="24"/>
      <w:lang w:val="en-US" w:eastAsia="en-US" w:bidi="ar-SA"/>
    </w:rPr>
  </w:style>
  <w:style w:type="paragraph" w:styleId="7">
    <w:name w:val="heading 6"/>
    <w:next w:val="1"/>
    <w:qFormat/>
    <w:uiPriority w:val="0"/>
    <w:pPr>
      <w:spacing w:before="240" w:after="120" w:line="288" w:lineRule="auto"/>
      <w:ind w:left="0"/>
      <w:jc w:val="left"/>
      <w:outlineLvl w:val="5"/>
    </w:pPr>
    <w:rPr>
      <w:rFonts w:ascii="Arial" w:hAnsi="Arial" w:eastAsia="等线" w:cs="Arial"/>
      <w:b/>
      <w:bCs/>
      <w:sz w:val="24"/>
      <w:szCs w:val="24"/>
      <w:lang w:val="en-US" w:eastAsia="en-US" w:bidi="ar-SA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US" w:eastAsia="en-US" w:bidi="ar-SA"/>
    </w:rPr>
  </w:style>
  <w:style w:type="paragraph" w:styleId="9">
    <w:name w:val="footer"/>
    <w:basedOn w:val="1"/>
    <w:link w:val="2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  <w:lang w:eastAsia="zh-CN"/>
    </w:rPr>
  </w:style>
  <w:style w:type="paragraph" w:styleId="10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  <w:lang w:eastAsia="zh-CN"/>
    </w:rPr>
  </w:style>
  <w:style w:type="paragraph" w:styleId="11">
    <w:name w:val="footnote text"/>
    <w:link w:val="19"/>
    <w:semiHidden/>
    <w:unhideWhenUsed/>
    <w:qFormat/>
    <w:uiPriority w:val="99"/>
    <w:pPr>
      <w:spacing w:after="0" w:line="240" w:lineRule="auto"/>
    </w:pPr>
    <w:rPr>
      <w:rFonts w:asciiTheme="minorHAnsi" w:hAnsiTheme="minorHAnsi" w:eastAsiaTheme="minorEastAsia" w:cstheme="minorBidi"/>
      <w:sz w:val="20"/>
      <w:szCs w:val="20"/>
      <w:lang w:val="en-US" w:eastAsia="en-US" w:bidi="ar-SA"/>
    </w:rPr>
  </w:style>
  <w:style w:type="paragraph" w:styleId="12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  <w:lang w:val="en-US" w:eastAsia="en-US" w:bidi="ar-SA"/>
    </w:rPr>
  </w:style>
  <w:style w:type="character" w:styleId="15">
    <w:name w:val="Strong"/>
    <w:basedOn w:val="14"/>
    <w:qFormat/>
    <w:uiPriority w:val="0"/>
    <w:rPr>
      <w:b/>
    </w:rPr>
  </w:style>
  <w:style w:type="character" w:styleId="16">
    <w:name w:val="Hyperlink"/>
    <w:unhideWhenUsed/>
    <w:qFormat/>
    <w:uiPriority w:val="99"/>
    <w:rPr>
      <w:color w:val="0563C1"/>
      <w:u w:val="single"/>
    </w:rPr>
  </w:style>
  <w:style w:type="character" w:styleId="17">
    <w:name w:val="footnote reference"/>
    <w:semiHidden/>
    <w:unhideWhenUsed/>
    <w:qFormat/>
    <w:uiPriority w:val="99"/>
    <w:rPr>
      <w:vertAlign w:val="superscript"/>
    </w:rPr>
  </w:style>
  <w:style w:type="paragraph" w:styleId="18">
    <w:name w:val="List Paragraph"/>
    <w:qFormat/>
    <w:uiPriority w:val="0"/>
    <w:rPr>
      <w:rFonts w:asciiTheme="minorHAnsi" w:hAnsiTheme="minorHAnsi" w:eastAsiaTheme="minorEastAsia" w:cstheme="minorBidi"/>
      <w:sz w:val="21"/>
      <w:szCs w:val="22"/>
      <w:lang w:val="en-US" w:eastAsia="en-US" w:bidi="ar-SA"/>
    </w:rPr>
  </w:style>
  <w:style w:type="character" w:customStyle="1" w:styleId="19">
    <w:name w:val="Footnote Text Char"/>
    <w:link w:val="11"/>
    <w:semiHidden/>
    <w:unhideWhenUsed/>
    <w:qFormat/>
    <w:uiPriority w:val="99"/>
    <w:rPr>
      <w:sz w:val="20"/>
      <w:szCs w:val="20"/>
    </w:rPr>
  </w:style>
  <w:style w:type="paragraph" w:customStyle="1" w:styleId="20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  <w:lang w:val="en-US" w:eastAsia="en-US" w:bidi="ar-SA"/>
    </w:rPr>
  </w:style>
  <w:style w:type="paragraph" w:customStyle="1" w:styleId="21">
    <w:name w:val="_Style 14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color w:val="8F959E"/>
      <w:sz w:val="22"/>
      <w:szCs w:val="22"/>
      <w:lang w:val="en-US" w:eastAsia="en-US" w:bidi="ar-SA"/>
    </w:rPr>
  </w:style>
  <w:style w:type="character" w:customStyle="1" w:styleId="22">
    <w:name w:val="页眉 Char"/>
    <w:link w:val="10"/>
    <w:semiHidden/>
    <w:uiPriority w:val="99"/>
    <w:rPr>
      <w:sz w:val="18"/>
      <w:szCs w:val="18"/>
      <w:lang w:eastAsia="zh-CN"/>
    </w:rPr>
  </w:style>
  <w:style w:type="character" w:customStyle="1" w:styleId="23">
    <w:name w:val="页脚 Char"/>
    <w:link w:val="9"/>
    <w:semiHidden/>
    <w:qFormat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3629</Words>
  <Characters>4141</Characters>
  <Lines>0</Lines>
  <Paragraphs>0</Paragraphs>
  <TotalTime>27</TotalTime>
  <ScaleCrop>false</ScaleCrop>
  <LinksUpToDate>false</LinksUpToDate>
  <CharactersWithSpaces>4359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2025-10-12T03:13:00Z</dcterms:created>
  <dc:creator>白云</dc:creator>
  <cp:lastModifiedBy>白云</cp:lastModifiedBy>
  <dcterms:modified xsi:type="dcterms:W3CDTF">2025-10-14T03:29:25Z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eyJoZGlkIjoiMTdjODI0NmE0MjM2YWU1YTAwNDA3OWFhNmI4N2I2MTMiLCJ1c2VySWQiOiI0MjI5MDk1NDAifQ==</vt:lpwstr>
  </property>
  <property fmtid="{D5CDD505-2E9C-101B-9397-08002B2CF9AE}" pid="3" name="KSOProductBuildVer">
    <vt:lpwstr>2052-12.1.0.22529</vt:lpwstr>
  </property>
  <property fmtid="{D5CDD505-2E9C-101B-9397-08002B2CF9AE}" pid="4" name="ICV">
    <vt:lpwstr>23085C2164614B3BBFFCA52997C3E37D_12</vt:lpwstr>
  </property>
</Properties>
</file>